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E71DA" w:rsidRDefault="006E71DA" w:rsidP="006E71DA">
      <w:pPr>
        <w:jc w:val="center"/>
        <w:rPr>
          <w:sz w:val="44"/>
          <w:szCs w:val="44"/>
        </w:rPr>
      </w:pPr>
      <w:bookmarkStart w:id="0" w:name="_GoBack"/>
      <w:r w:rsidRPr="006E71DA">
        <w:rPr>
          <w:rFonts w:hint="eastAsia"/>
          <w:sz w:val="44"/>
          <w:szCs w:val="44"/>
        </w:rPr>
        <w:t>卓治強先生千古</w:t>
      </w:r>
    </w:p>
    <w:p w:rsidR="006E71DA" w:rsidRPr="006E71DA" w:rsidRDefault="006E71DA" w:rsidP="006E71DA">
      <w:pPr>
        <w:jc w:val="center"/>
        <w:rPr>
          <w:sz w:val="44"/>
          <w:szCs w:val="44"/>
          <w:lang w:val="en-US"/>
        </w:rPr>
      </w:pPr>
      <w:r w:rsidRPr="006E71DA">
        <w:rPr>
          <w:sz w:val="44"/>
          <w:szCs w:val="44"/>
          <w:lang w:val="en-US"/>
        </w:rPr>
        <w:t>ANTHONY CHOCK</w:t>
      </w:r>
    </w:p>
    <w:p w:rsidR="006E71DA" w:rsidRPr="006E71DA" w:rsidRDefault="006E71DA" w:rsidP="006E71DA">
      <w:pPr>
        <w:jc w:val="center"/>
        <w:rPr>
          <w:sz w:val="44"/>
          <w:szCs w:val="44"/>
          <w:lang w:val="en-US"/>
        </w:rPr>
      </w:pPr>
      <w:r w:rsidRPr="006E71DA">
        <w:rPr>
          <w:sz w:val="44"/>
          <w:szCs w:val="44"/>
          <w:lang w:val="en-US"/>
        </w:rPr>
        <w:t>1933 – 2021</w:t>
      </w:r>
    </w:p>
    <w:p w:rsidR="006E71DA" w:rsidRPr="006E71DA" w:rsidRDefault="006E71DA" w:rsidP="006E71DA">
      <w:pPr>
        <w:jc w:val="center"/>
        <w:rPr>
          <w:sz w:val="44"/>
          <w:szCs w:val="44"/>
          <w:lang w:val="en-US"/>
        </w:rPr>
      </w:pPr>
      <w:r w:rsidRPr="006E71DA">
        <w:rPr>
          <w:sz w:val="44"/>
          <w:szCs w:val="44"/>
          <w:lang w:val="en-US"/>
        </w:rPr>
        <w:t>Monticello/CC025</w:t>
      </w:r>
    </w:p>
    <w:p w:rsidR="006E71DA" w:rsidRPr="006E71DA" w:rsidRDefault="006E71DA" w:rsidP="006E71DA">
      <w:pPr>
        <w:jc w:val="center"/>
        <w:rPr>
          <w:sz w:val="44"/>
          <w:szCs w:val="44"/>
          <w:lang w:val="en-US"/>
        </w:rPr>
      </w:pPr>
      <w:r w:rsidRPr="006E71DA">
        <w:rPr>
          <w:sz w:val="44"/>
          <w:szCs w:val="44"/>
          <w:lang w:val="en-US"/>
        </w:rPr>
        <w:t>Sec. 14-1128 Pine Hills Cemetery</w:t>
      </w:r>
    </w:p>
    <w:p w:rsidR="006E71DA" w:rsidRPr="006E71DA" w:rsidRDefault="006E71DA" w:rsidP="006E71DA">
      <w:pPr>
        <w:jc w:val="center"/>
        <w:rPr>
          <w:sz w:val="44"/>
          <w:szCs w:val="44"/>
          <w:lang w:val="en-US"/>
        </w:rPr>
      </w:pPr>
      <w:r w:rsidRPr="006E71DA">
        <w:rPr>
          <w:sz w:val="44"/>
          <w:szCs w:val="44"/>
          <w:lang w:val="en-US"/>
        </w:rPr>
        <w:t>Mar. 13, 21 3pm eta</w:t>
      </w:r>
    </w:p>
    <w:p w:rsidR="006E71DA" w:rsidRPr="006E71DA" w:rsidRDefault="006E71DA" w:rsidP="006E71DA">
      <w:pPr>
        <w:jc w:val="center"/>
        <w:rPr>
          <w:sz w:val="44"/>
          <w:szCs w:val="44"/>
          <w:lang w:val="en-US"/>
        </w:rPr>
      </w:pPr>
    </w:p>
    <w:bookmarkEnd w:id="0"/>
    <w:p w:rsidR="006E71DA" w:rsidRPr="006E71DA" w:rsidRDefault="006E71DA" w:rsidP="006E71DA">
      <w:pPr>
        <w:jc w:val="center"/>
        <w:rPr>
          <w:rFonts w:hint="eastAsia"/>
          <w:sz w:val="44"/>
          <w:szCs w:val="44"/>
          <w:lang w:val="en-US"/>
        </w:rPr>
      </w:pPr>
    </w:p>
    <w:sectPr w:rsidR="006E71DA" w:rsidRPr="006E7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DA"/>
    <w:rsid w:val="00611A94"/>
    <w:rsid w:val="006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788A"/>
  <w15:chartTrackingRefBased/>
  <w15:docId w15:val="{27905E9E-174D-4DF4-809C-3384D6A0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2021-03-08T20:40:00Z</dcterms:created>
  <dcterms:modified xsi:type="dcterms:W3CDTF">2021-03-08T20:43:00Z</dcterms:modified>
</cp:coreProperties>
</file>